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6B" w:rsidRPr="00ED334A" w:rsidRDefault="004614C8">
      <w:pPr>
        <w:pStyle w:val="Titre"/>
        <w:tabs>
          <w:tab w:val="left" w:pos="3600"/>
        </w:tabs>
        <w:ind w:left="1080" w:right="7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925" cy="685800"/>
            <wp:effectExtent l="0" t="0" r="9525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76B" w:rsidRPr="00ED334A">
        <w:rPr>
          <w:sz w:val="22"/>
          <w:szCs w:val="22"/>
        </w:rPr>
        <w:t>MAIRIE DE SAINTE FOY D’AIGREFEUILLE</w:t>
      </w:r>
    </w:p>
    <w:p w:rsidR="00FB1E2D" w:rsidRDefault="00FB1E2D">
      <w:pPr>
        <w:pStyle w:val="Titre1"/>
        <w:ind w:left="0"/>
        <w:rPr>
          <w:sz w:val="22"/>
          <w:szCs w:val="22"/>
        </w:rPr>
      </w:pPr>
    </w:p>
    <w:p w:rsidR="00FB1E2D" w:rsidRDefault="00FB1E2D">
      <w:pPr>
        <w:pStyle w:val="Titre1"/>
        <w:ind w:left="0"/>
        <w:rPr>
          <w:sz w:val="22"/>
          <w:szCs w:val="22"/>
        </w:rPr>
      </w:pPr>
    </w:p>
    <w:p w:rsidR="00E8476B" w:rsidRPr="00FE3177" w:rsidRDefault="00E8476B">
      <w:pPr>
        <w:pStyle w:val="Titre1"/>
        <w:ind w:left="0"/>
        <w:rPr>
          <w:b/>
          <w:sz w:val="28"/>
          <w:szCs w:val="28"/>
        </w:rPr>
      </w:pPr>
      <w:r w:rsidRPr="00FE3177">
        <w:rPr>
          <w:b/>
          <w:sz w:val="28"/>
          <w:szCs w:val="28"/>
        </w:rPr>
        <w:t>Dates de ramassage des déchets verts</w:t>
      </w:r>
      <w:r w:rsidR="00660F77" w:rsidRPr="00FE3177">
        <w:rPr>
          <w:b/>
          <w:sz w:val="28"/>
          <w:szCs w:val="28"/>
        </w:rPr>
        <w:t xml:space="preserve"> </w:t>
      </w:r>
      <w:r w:rsidR="00D71693" w:rsidRPr="00FE3177">
        <w:rPr>
          <w:b/>
          <w:sz w:val="28"/>
          <w:szCs w:val="28"/>
        </w:rPr>
        <w:t>pour l’année 201</w:t>
      </w:r>
      <w:r w:rsidR="003A332F">
        <w:rPr>
          <w:b/>
          <w:sz w:val="28"/>
          <w:szCs w:val="28"/>
        </w:rPr>
        <w:t>6</w:t>
      </w:r>
    </w:p>
    <w:p w:rsidR="00D71693" w:rsidRDefault="00D71693">
      <w:pPr>
        <w:jc w:val="both"/>
        <w:rPr>
          <w:bCs/>
          <w:u w:val="single"/>
        </w:rPr>
      </w:pPr>
    </w:p>
    <w:p w:rsidR="00E8476B" w:rsidRPr="003A332F" w:rsidRDefault="00660F77">
      <w:pPr>
        <w:jc w:val="both"/>
        <w:rPr>
          <w:b/>
          <w:bCs/>
          <w:color w:val="76923C" w:themeColor="accent3" w:themeShade="BF"/>
          <w:u w:val="single"/>
        </w:rPr>
      </w:pPr>
      <w:r w:rsidRPr="003A332F">
        <w:rPr>
          <w:b/>
          <w:bCs/>
          <w:color w:val="76923C" w:themeColor="accent3" w:themeShade="BF"/>
          <w:u w:val="single"/>
        </w:rPr>
        <w:t>1</w:t>
      </w:r>
      <w:r w:rsidRPr="003A332F">
        <w:rPr>
          <w:b/>
          <w:bCs/>
          <w:color w:val="76923C" w:themeColor="accent3" w:themeShade="BF"/>
          <w:u w:val="single"/>
          <w:vertAlign w:val="superscript"/>
        </w:rPr>
        <w:t>er</w:t>
      </w:r>
      <w:r w:rsidRPr="003A332F">
        <w:rPr>
          <w:b/>
          <w:bCs/>
          <w:color w:val="76923C" w:themeColor="accent3" w:themeShade="BF"/>
          <w:u w:val="single"/>
        </w:rPr>
        <w:t xml:space="preserve"> Semestre</w:t>
      </w:r>
    </w:p>
    <w:p w:rsidR="00660F77" w:rsidRPr="00ED334A" w:rsidRDefault="00660F77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FB0654" w:rsidRPr="00A553B6" w:rsidTr="002C7F85"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548DD4" w:themeColor="text2" w:themeTint="99"/>
              </w:rPr>
            </w:pPr>
            <w:r w:rsidRPr="003A332F">
              <w:rPr>
                <w:b/>
                <w:bCs/>
                <w:i/>
                <w:color w:val="548DD4" w:themeColor="text2" w:themeTint="99"/>
              </w:rPr>
              <w:t>Janvier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548DD4" w:themeColor="text2" w:themeTint="99"/>
              </w:rPr>
            </w:pPr>
            <w:r w:rsidRPr="003A332F">
              <w:rPr>
                <w:b/>
                <w:bCs/>
                <w:i/>
                <w:color w:val="548DD4" w:themeColor="text2" w:themeTint="99"/>
              </w:rPr>
              <w:t>Février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548DD4" w:themeColor="text2" w:themeTint="99"/>
              </w:rPr>
            </w:pPr>
            <w:r w:rsidRPr="003A332F">
              <w:rPr>
                <w:b/>
                <w:bCs/>
                <w:i/>
                <w:color w:val="548DD4" w:themeColor="text2" w:themeTint="99"/>
              </w:rPr>
              <w:t>Mars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C00000"/>
              </w:rPr>
            </w:pPr>
            <w:r w:rsidRPr="003A332F">
              <w:rPr>
                <w:b/>
                <w:bCs/>
                <w:i/>
                <w:color w:val="C00000"/>
              </w:rPr>
              <w:t>Avril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C00000"/>
              </w:rPr>
            </w:pPr>
            <w:r w:rsidRPr="003A332F">
              <w:rPr>
                <w:b/>
                <w:bCs/>
                <w:i/>
                <w:color w:val="C00000"/>
              </w:rPr>
              <w:t>Mai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C00000"/>
              </w:rPr>
            </w:pPr>
            <w:r w:rsidRPr="003A332F">
              <w:rPr>
                <w:b/>
                <w:bCs/>
                <w:i/>
                <w:color w:val="C00000"/>
              </w:rPr>
              <w:t>Juin</w:t>
            </w:r>
          </w:p>
        </w:tc>
      </w:tr>
      <w:tr w:rsidR="008A01FB" w:rsidRPr="00A553B6" w:rsidTr="002C7F85"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 xml:space="preserve">Mardi </w:t>
            </w:r>
            <w:r w:rsidR="003A332F">
              <w:rPr>
                <w:b/>
                <w:bCs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 xml:space="preserve">Mardi </w:t>
            </w:r>
            <w:r w:rsidR="003A332F">
              <w:rPr>
                <w:b/>
                <w:bCs/>
              </w:rPr>
              <w:t>9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 xml:space="preserve">Mardi </w:t>
            </w:r>
            <w:r w:rsidR="003A332F">
              <w:rPr>
                <w:b/>
                <w:bCs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 xml:space="preserve">Mardi </w:t>
            </w:r>
            <w:r w:rsidR="003A332F">
              <w:rPr>
                <w:b/>
                <w:bCs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7</w:t>
            </w:r>
          </w:p>
        </w:tc>
      </w:tr>
      <w:tr w:rsidR="008A01FB" w:rsidRPr="00A553B6" w:rsidTr="002C7F85"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 xml:space="preserve">Mardi </w:t>
            </w:r>
            <w:r w:rsidR="003A332F">
              <w:rPr>
                <w:b/>
                <w:bCs/>
              </w:rPr>
              <w:t>19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>Mardi 1</w:t>
            </w:r>
            <w:r w:rsidR="003A332F">
              <w:rPr>
                <w:b/>
                <w:bCs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 xml:space="preserve">Mardi </w:t>
            </w:r>
            <w:r w:rsidR="00D71693">
              <w:rPr>
                <w:b/>
                <w:bCs/>
              </w:rPr>
              <w:t>1</w:t>
            </w:r>
            <w:r w:rsidR="003A332F">
              <w:rPr>
                <w:b/>
                <w:bCs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1</w:t>
            </w:r>
            <w:r w:rsidR="003A332F">
              <w:rPr>
                <w:b/>
                <w:bCs/>
              </w:rPr>
              <w:t>0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14</w:t>
            </w:r>
          </w:p>
        </w:tc>
      </w:tr>
      <w:tr w:rsidR="008A01FB" w:rsidRPr="00A553B6" w:rsidTr="002C7F85"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2</w:t>
            </w:r>
            <w:r w:rsidR="003A332F">
              <w:rPr>
                <w:b/>
                <w:bCs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24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28</w:t>
            </w:r>
          </w:p>
        </w:tc>
      </w:tr>
      <w:tr w:rsidR="008A01FB" w:rsidRPr="00A553B6" w:rsidTr="002C7F85"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D71693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</w:tr>
    </w:tbl>
    <w:p w:rsidR="00660F77" w:rsidRPr="00ED334A" w:rsidRDefault="00660F77">
      <w:pPr>
        <w:jc w:val="both"/>
        <w:rPr>
          <w:b/>
          <w:bCs/>
          <w:sz w:val="22"/>
          <w:szCs w:val="22"/>
          <w:u w:val="single"/>
        </w:rPr>
      </w:pPr>
    </w:p>
    <w:p w:rsidR="00FB0654" w:rsidRPr="003A332F" w:rsidRDefault="00660F77">
      <w:pPr>
        <w:jc w:val="both"/>
        <w:rPr>
          <w:b/>
          <w:bCs/>
          <w:color w:val="76923C" w:themeColor="accent3" w:themeShade="BF"/>
          <w:u w:val="single"/>
        </w:rPr>
      </w:pPr>
      <w:r w:rsidRPr="003A332F">
        <w:rPr>
          <w:b/>
          <w:bCs/>
          <w:color w:val="76923C" w:themeColor="accent3" w:themeShade="BF"/>
          <w:u w:val="single"/>
        </w:rPr>
        <w:t>2</w:t>
      </w:r>
      <w:r w:rsidRPr="003A332F">
        <w:rPr>
          <w:b/>
          <w:bCs/>
          <w:color w:val="76923C" w:themeColor="accent3" w:themeShade="BF"/>
          <w:u w:val="single"/>
          <w:vertAlign w:val="superscript"/>
        </w:rPr>
        <w:t>nd</w:t>
      </w:r>
      <w:r w:rsidRPr="003A332F">
        <w:rPr>
          <w:b/>
          <w:bCs/>
          <w:color w:val="76923C" w:themeColor="accent3" w:themeShade="BF"/>
          <w:u w:val="single"/>
        </w:rPr>
        <w:t xml:space="preserve"> Semestre</w:t>
      </w:r>
    </w:p>
    <w:p w:rsidR="00ED334A" w:rsidRPr="00ED334A" w:rsidRDefault="00ED334A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FB0654" w:rsidRPr="00A553B6" w:rsidTr="002C7F85"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FFC000"/>
              </w:rPr>
            </w:pPr>
            <w:r w:rsidRPr="003A332F">
              <w:rPr>
                <w:b/>
                <w:bCs/>
                <w:i/>
                <w:color w:val="FFC000"/>
              </w:rPr>
              <w:t>Juillet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FFC000"/>
              </w:rPr>
            </w:pPr>
            <w:r w:rsidRPr="003A332F">
              <w:rPr>
                <w:b/>
                <w:bCs/>
                <w:i/>
                <w:color w:val="FFC000"/>
              </w:rPr>
              <w:t>Août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FFC000"/>
              </w:rPr>
            </w:pPr>
            <w:r w:rsidRPr="003A332F">
              <w:rPr>
                <w:b/>
                <w:bCs/>
                <w:i/>
                <w:color w:val="FFC000"/>
              </w:rPr>
              <w:t>Septembre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00B050"/>
              </w:rPr>
            </w:pPr>
            <w:r w:rsidRPr="003A332F">
              <w:rPr>
                <w:b/>
                <w:bCs/>
                <w:i/>
                <w:color w:val="00B050"/>
              </w:rPr>
              <w:t>Octobre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00B050"/>
              </w:rPr>
            </w:pPr>
            <w:r w:rsidRPr="003A332F">
              <w:rPr>
                <w:b/>
                <w:bCs/>
                <w:i/>
                <w:color w:val="00B050"/>
              </w:rPr>
              <w:t>Novembre</w:t>
            </w:r>
          </w:p>
        </w:tc>
        <w:tc>
          <w:tcPr>
            <w:tcW w:w="1535" w:type="dxa"/>
            <w:shd w:val="clear" w:color="auto" w:fill="auto"/>
          </w:tcPr>
          <w:p w:rsidR="00FB0654" w:rsidRPr="003A332F" w:rsidRDefault="00FB0654" w:rsidP="002C7F85">
            <w:pPr>
              <w:jc w:val="center"/>
              <w:rPr>
                <w:b/>
                <w:bCs/>
                <w:i/>
                <w:color w:val="00B050"/>
              </w:rPr>
            </w:pPr>
            <w:r w:rsidRPr="003A332F">
              <w:rPr>
                <w:b/>
                <w:bCs/>
                <w:i/>
                <w:color w:val="00B050"/>
              </w:rPr>
              <w:t>Décembre</w:t>
            </w:r>
          </w:p>
        </w:tc>
      </w:tr>
      <w:tr w:rsidR="008A01FB" w:rsidRPr="00A553B6" w:rsidTr="002C7F85"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9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11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8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  <w:rPr>
                <w:b/>
                <w:bCs/>
              </w:rPr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13</w:t>
            </w:r>
          </w:p>
        </w:tc>
      </w:tr>
      <w:tr w:rsidR="008A01FB" w:rsidRPr="00A553B6" w:rsidTr="002C7F85"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19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13</w:t>
            </w:r>
            <w:r w:rsidR="00EA2E8E" w:rsidRPr="00111B5E">
              <w:rPr>
                <w:b/>
                <w:bCs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1</w:t>
            </w:r>
            <w:r w:rsidR="003A332F">
              <w:rPr>
                <w:b/>
                <w:bCs/>
              </w:rPr>
              <w:t>8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D71693">
              <w:rPr>
                <w:b/>
                <w:bCs/>
              </w:rPr>
              <w:t>1</w:t>
            </w:r>
            <w:r w:rsidR="003A332F">
              <w:rPr>
                <w:b/>
                <w:bCs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</w:tr>
      <w:tr w:rsidR="008A01FB" w:rsidRPr="00A553B6" w:rsidTr="002C7F85"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</w:t>
            </w:r>
            <w:r w:rsidR="003A332F">
              <w:rPr>
                <w:b/>
                <w:bCs/>
              </w:rPr>
              <w:t>27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3A332F">
            <w:pPr>
              <w:jc w:val="center"/>
            </w:pPr>
            <w:r w:rsidRPr="00111B5E">
              <w:rPr>
                <w:b/>
                <w:bCs/>
              </w:rPr>
              <w:t>Mardi</w:t>
            </w:r>
            <w:r w:rsidR="00EA2E8E" w:rsidRPr="00111B5E">
              <w:rPr>
                <w:b/>
                <w:bCs/>
              </w:rPr>
              <w:t xml:space="preserve"> 2</w:t>
            </w:r>
            <w:r w:rsidR="003A332F">
              <w:rPr>
                <w:b/>
                <w:bCs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D71693" w:rsidP="003A3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Mardi </w:t>
            </w:r>
            <w:r w:rsidR="003A332F">
              <w:rPr>
                <w:b/>
                <w:bCs/>
              </w:rPr>
              <w:t>22</w:t>
            </w: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</w:tr>
      <w:tr w:rsidR="008A01FB" w:rsidRPr="00A553B6" w:rsidTr="002C7F85"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8A01FB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shd w:val="clear" w:color="auto" w:fill="auto"/>
          </w:tcPr>
          <w:p w:rsidR="008A01FB" w:rsidRPr="00111B5E" w:rsidRDefault="008A01FB" w:rsidP="002C7F85">
            <w:pPr>
              <w:jc w:val="center"/>
              <w:rPr>
                <w:b/>
                <w:bCs/>
              </w:rPr>
            </w:pPr>
          </w:p>
        </w:tc>
      </w:tr>
    </w:tbl>
    <w:p w:rsidR="00E8476B" w:rsidRPr="00ED334A" w:rsidRDefault="00E8476B">
      <w:pPr>
        <w:jc w:val="both"/>
        <w:rPr>
          <w:b/>
          <w:bCs/>
          <w:sz w:val="22"/>
          <w:szCs w:val="22"/>
          <w:u w:val="single"/>
        </w:rPr>
      </w:pPr>
    </w:p>
    <w:p w:rsidR="00FB1E2D" w:rsidRDefault="00FB1E2D">
      <w:pPr>
        <w:jc w:val="both"/>
        <w:rPr>
          <w:bCs/>
          <w:sz w:val="22"/>
          <w:szCs w:val="22"/>
          <w:u w:val="single"/>
        </w:rPr>
      </w:pPr>
    </w:p>
    <w:p w:rsidR="00E8476B" w:rsidRPr="00111B5E" w:rsidRDefault="00E8476B">
      <w:pPr>
        <w:jc w:val="both"/>
        <w:rPr>
          <w:b/>
          <w:bCs/>
          <w:u w:val="single"/>
        </w:rPr>
      </w:pPr>
      <w:r w:rsidRPr="00111B5E">
        <w:rPr>
          <w:b/>
          <w:bCs/>
          <w:u w:val="single"/>
        </w:rPr>
        <w:t>Seuls les déchets non souillés sont récupérés :</w:t>
      </w:r>
    </w:p>
    <w:p w:rsidR="00111B5E" w:rsidRPr="00A553B6" w:rsidRDefault="00111B5E">
      <w:pPr>
        <w:jc w:val="both"/>
        <w:rPr>
          <w:bCs/>
          <w:sz w:val="22"/>
          <w:szCs w:val="22"/>
          <w:u w:val="single"/>
        </w:rPr>
      </w:pPr>
    </w:p>
    <w:p w:rsidR="00E8476B" w:rsidRPr="00111B5E" w:rsidRDefault="00E8476B" w:rsidP="00E8476B">
      <w:pPr>
        <w:pStyle w:val="Corpsdetexte"/>
        <w:rPr>
          <w:b w:val="0"/>
          <w:sz w:val="24"/>
        </w:rPr>
      </w:pPr>
      <w:r w:rsidRPr="00111B5E">
        <w:rPr>
          <w:b w:val="0"/>
          <w:sz w:val="24"/>
        </w:rPr>
        <w:t xml:space="preserve">Le bois, les branchages, les brindilles, d’un diamètre de </w:t>
      </w:r>
      <w:smartTag w:uri="urn:schemas-microsoft-com:office:smarttags" w:element="metricconverter">
        <w:smartTagPr>
          <w:attr w:name="ProductID" w:val="10 cm"/>
        </w:smartTagPr>
        <w:r w:rsidRPr="00111B5E">
          <w:rPr>
            <w:b w:val="0"/>
            <w:sz w:val="24"/>
          </w:rPr>
          <w:t>10 cm</w:t>
        </w:r>
      </w:smartTag>
      <w:r w:rsidRPr="00111B5E">
        <w:rPr>
          <w:b w:val="0"/>
          <w:sz w:val="24"/>
        </w:rPr>
        <w:t xml:space="preserve"> au maximum et présentés en fagots </w:t>
      </w:r>
      <w:r w:rsidRPr="003A332F">
        <w:rPr>
          <w:sz w:val="24"/>
        </w:rPr>
        <w:t xml:space="preserve">d’une longueur maximum de 1 </w:t>
      </w:r>
      <w:r w:rsidR="00046E98" w:rsidRPr="003A332F">
        <w:rPr>
          <w:sz w:val="24"/>
        </w:rPr>
        <w:t xml:space="preserve"> </w:t>
      </w:r>
      <w:r w:rsidRPr="003A332F">
        <w:rPr>
          <w:sz w:val="24"/>
        </w:rPr>
        <w:t>mètre</w:t>
      </w:r>
      <w:r w:rsidRPr="00111B5E">
        <w:rPr>
          <w:b w:val="0"/>
          <w:sz w:val="24"/>
        </w:rPr>
        <w:t>, l’herbe (coupe de gazon, mauvaises herbes…), les feuillages, les fleurs fanées…</w:t>
      </w:r>
    </w:p>
    <w:p w:rsidR="00EA2E8E" w:rsidRPr="003A332F" w:rsidRDefault="00E8476B">
      <w:pPr>
        <w:jc w:val="both"/>
        <w:rPr>
          <w:b/>
          <w:bCs/>
        </w:rPr>
      </w:pPr>
      <w:r w:rsidRPr="003A332F">
        <w:rPr>
          <w:b/>
          <w:bCs/>
        </w:rPr>
        <w:t>Présentez-les dans vos propres récipients (poubelles, seaux…) ou sacs en plastique ouverts.</w:t>
      </w:r>
      <w:r w:rsidR="003A332F">
        <w:rPr>
          <w:b/>
          <w:bCs/>
        </w:rPr>
        <w:t xml:space="preserve"> </w:t>
      </w:r>
      <w:r w:rsidR="00EA2E8E" w:rsidRPr="003A332F">
        <w:rPr>
          <w:b/>
          <w:bCs/>
        </w:rPr>
        <w:t>Le poids des fagots ou des sacs est au maximum de 25 kg.</w:t>
      </w:r>
      <w:r w:rsidR="003A332F">
        <w:rPr>
          <w:b/>
          <w:bCs/>
        </w:rPr>
        <w:t xml:space="preserve"> </w:t>
      </w:r>
      <w:r w:rsidR="00EA2E8E" w:rsidRPr="003A332F">
        <w:rPr>
          <w:b/>
          <w:bCs/>
        </w:rPr>
        <w:t xml:space="preserve">La quantité totale maximale, par collecte et par foyer de fagots et de contenants ne doit pas </w:t>
      </w:r>
      <w:r w:rsidR="00C95DC8" w:rsidRPr="003A332F">
        <w:rPr>
          <w:b/>
          <w:bCs/>
        </w:rPr>
        <w:t>être supérieure à 20 unités.</w:t>
      </w:r>
    </w:p>
    <w:p w:rsidR="00C95DC8" w:rsidRPr="00111B5E" w:rsidRDefault="00C95DC8">
      <w:pPr>
        <w:jc w:val="both"/>
        <w:rPr>
          <w:bCs/>
        </w:rPr>
      </w:pPr>
      <w:r w:rsidRPr="00111B5E">
        <w:rPr>
          <w:bCs/>
        </w:rPr>
        <w:t>En cas de pics de production de déchets végétaux (lors de périodes de taille par exemple), il est suggéré de répartir ces déchets sur plusieurs collectes, jusqu’à épuisement du stock.</w:t>
      </w:r>
    </w:p>
    <w:p w:rsidR="00C95DC8" w:rsidRPr="00111B5E" w:rsidRDefault="00C95DC8">
      <w:pPr>
        <w:jc w:val="both"/>
        <w:rPr>
          <w:bCs/>
        </w:rPr>
      </w:pPr>
      <w:r w:rsidRPr="00111B5E">
        <w:rPr>
          <w:bCs/>
        </w:rPr>
        <w:t>En dehors des collectes et pour les grandes quantités, les déchets verts peuvent être déposés à la déch</w:t>
      </w:r>
      <w:r w:rsidR="003A332F">
        <w:rPr>
          <w:bCs/>
        </w:rPr>
        <w:t>ett</w:t>
      </w:r>
      <w:r w:rsidRPr="00111B5E">
        <w:rPr>
          <w:bCs/>
        </w:rPr>
        <w:t xml:space="preserve">erie de Caraman </w:t>
      </w:r>
      <w:r w:rsidR="00FB1E2D" w:rsidRPr="00111B5E">
        <w:rPr>
          <w:bCs/>
        </w:rPr>
        <w:t>du mardi au samedi de 9h à 12h et de 14h à 18h.</w:t>
      </w:r>
    </w:p>
    <w:p w:rsidR="00E8476B" w:rsidRPr="00A553B6" w:rsidRDefault="00E8476B">
      <w:pPr>
        <w:jc w:val="both"/>
        <w:rPr>
          <w:bCs/>
          <w:sz w:val="22"/>
          <w:szCs w:val="22"/>
        </w:rPr>
      </w:pPr>
    </w:p>
    <w:p w:rsidR="00E8476B" w:rsidRPr="00111B5E" w:rsidRDefault="00E8476B">
      <w:pPr>
        <w:jc w:val="both"/>
        <w:rPr>
          <w:b/>
          <w:bCs/>
          <w:u w:val="single"/>
        </w:rPr>
      </w:pPr>
      <w:r w:rsidRPr="00111B5E">
        <w:rPr>
          <w:b/>
          <w:bCs/>
          <w:u w:val="single"/>
        </w:rPr>
        <w:t>Ne sont pas récupérés :</w:t>
      </w:r>
    </w:p>
    <w:p w:rsidR="00111B5E" w:rsidRPr="00111B5E" w:rsidRDefault="00111B5E">
      <w:pPr>
        <w:jc w:val="both"/>
        <w:rPr>
          <w:bCs/>
          <w:u w:val="single"/>
        </w:rPr>
      </w:pPr>
    </w:p>
    <w:p w:rsidR="00E8476B" w:rsidRPr="00111B5E" w:rsidRDefault="00E8476B">
      <w:pPr>
        <w:pStyle w:val="Corpsdetexte"/>
        <w:rPr>
          <w:b w:val="0"/>
          <w:sz w:val="24"/>
        </w:rPr>
      </w:pPr>
      <w:r w:rsidRPr="00111B5E">
        <w:rPr>
          <w:b w:val="0"/>
          <w:sz w:val="24"/>
        </w:rPr>
        <w:t>La terre, le terreau, les cailloux, pierres, graviers, morceaux de brique, les ferrailles, plastiques, gravats, les déchets végétaux souillés (produits chimiques, autres matières…), les déchets végétaux en vrac ne pouvant être ramassés d’un geste.</w:t>
      </w:r>
    </w:p>
    <w:p w:rsidR="00660F77" w:rsidRPr="003A332F" w:rsidRDefault="00660F77">
      <w:pPr>
        <w:pStyle w:val="Corpsdetexte"/>
        <w:rPr>
          <w:b w:val="0"/>
          <w:color w:val="FF0000"/>
          <w:sz w:val="24"/>
        </w:rPr>
      </w:pPr>
      <w:r w:rsidRPr="003A332F">
        <w:rPr>
          <w:color w:val="FF0000"/>
          <w:sz w:val="24"/>
          <w:u w:val="single"/>
        </w:rPr>
        <w:t>Rappel :</w:t>
      </w:r>
      <w:r w:rsidRPr="003A332F">
        <w:rPr>
          <w:b w:val="0"/>
          <w:color w:val="FF0000"/>
          <w:sz w:val="24"/>
        </w:rPr>
        <w:t xml:space="preserve"> ne pas utiliser de sacs à gravats « format chantier » (type big bag).</w:t>
      </w:r>
    </w:p>
    <w:p w:rsidR="00E8476B" w:rsidRPr="003A332F" w:rsidRDefault="00E8476B">
      <w:pPr>
        <w:ind w:left="1980"/>
        <w:jc w:val="center"/>
        <w:rPr>
          <w:color w:val="FF0000"/>
          <w:sz w:val="22"/>
          <w:szCs w:val="22"/>
          <w:u w:val="single"/>
        </w:rPr>
      </w:pPr>
    </w:p>
    <w:p w:rsidR="00E8476B" w:rsidRPr="003A332F" w:rsidRDefault="00E8476B">
      <w:pPr>
        <w:rPr>
          <w:b/>
          <w:bCs/>
          <w:color w:val="FF0000"/>
          <w:u w:val="single"/>
        </w:rPr>
      </w:pPr>
      <w:r w:rsidRPr="003A332F">
        <w:rPr>
          <w:b/>
          <w:bCs/>
          <w:color w:val="FF0000"/>
          <w:u w:val="single"/>
        </w:rPr>
        <w:t>ATTENTION !</w:t>
      </w:r>
    </w:p>
    <w:p w:rsidR="00111B5E" w:rsidRPr="00111B5E" w:rsidRDefault="00111B5E"/>
    <w:p w:rsidR="00E8476B" w:rsidRPr="00111B5E" w:rsidRDefault="00E8476B" w:rsidP="00E8476B">
      <w:pPr>
        <w:pStyle w:val="Corpsdetexte2"/>
        <w:jc w:val="both"/>
        <w:rPr>
          <w:b w:val="0"/>
          <w:sz w:val="24"/>
        </w:rPr>
      </w:pPr>
      <w:r w:rsidRPr="00111B5E">
        <w:rPr>
          <w:b w:val="0"/>
          <w:sz w:val="24"/>
        </w:rPr>
        <w:t xml:space="preserve">Les collectes s’effectuent au porte à porte sur l’ensemble des voies publiques de la commune, hors chemins privés et très tôt le matin (pensez à sortir vos </w:t>
      </w:r>
      <w:r w:rsidR="00FB1E2D" w:rsidRPr="00111B5E">
        <w:rPr>
          <w:b w:val="0"/>
          <w:sz w:val="24"/>
        </w:rPr>
        <w:t>déchets</w:t>
      </w:r>
      <w:r w:rsidRPr="00111B5E">
        <w:rPr>
          <w:b w:val="0"/>
          <w:sz w:val="24"/>
        </w:rPr>
        <w:t xml:space="preserve"> la veille).</w:t>
      </w:r>
    </w:p>
    <w:p w:rsidR="00E8476B" w:rsidRPr="00111B5E" w:rsidRDefault="00E8476B" w:rsidP="00E8476B">
      <w:pPr>
        <w:pStyle w:val="Corpsdetexte2"/>
        <w:jc w:val="both"/>
        <w:rPr>
          <w:b w:val="0"/>
          <w:sz w:val="24"/>
        </w:rPr>
      </w:pPr>
      <w:r w:rsidRPr="00111B5E">
        <w:rPr>
          <w:b w:val="0"/>
          <w:sz w:val="24"/>
        </w:rPr>
        <w:t>Il est à noter que le camion de ramassage n</w:t>
      </w:r>
      <w:bookmarkStart w:id="0" w:name="_GoBack"/>
      <w:bookmarkEnd w:id="0"/>
      <w:r w:rsidRPr="00111B5E">
        <w:rPr>
          <w:b w:val="0"/>
          <w:sz w:val="24"/>
        </w:rPr>
        <w:t xml:space="preserve">e passera pas une seconde fois pour les </w:t>
      </w:r>
      <w:r w:rsidR="00FB1E2D" w:rsidRPr="00111B5E">
        <w:rPr>
          <w:b w:val="0"/>
          <w:sz w:val="24"/>
        </w:rPr>
        <w:t>déchets</w:t>
      </w:r>
      <w:r w:rsidRPr="00111B5E">
        <w:rPr>
          <w:b w:val="0"/>
          <w:sz w:val="24"/>
        </w:rPr>
        <w:t xml:space="preserve"> qui auraient été sortis trop tardivement.</w:t>
      </w:r>
    </w:p>
    <w:p w:rsidR="00E8476B" w:rsidRDefault="00E8476B" w:rsidP="00E8476B">
      <w:pPr>
        <w:jc w:val="both"/>
        <w:rPr>
          <w:bCs/>
          <w:sz w:val="22"/>
          <w:szCs w:val="22"/>
        </w:rPr>
      </w:pPr>
    </w:p>
    <w:p w:rsidR="0047653D" w:rsidRPr="0027432F" w:rsidRDefault="00C9628F" w:rsidP="00E8476B">
      <w:pPr>
        <w:jc w:val="both"/>
        <w:rPr>
          <w:bCs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435721" cy="472543"/>
            <wp:effectExtent l="0" t="0" r="2540" b="3810"/>
            <wp:docPr id="3" name="Image 3" descr="C:\Users\accueil2\AppData\Local\Microsoft\Windows\Temporary Internet Files\Content.IE5\QGQSCR7L\Attention_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cueil2\AppData\Local\Microsoft\Windows\Temporary Internet Files\Content.IE5\QGQSCR7L\Attention_Sig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1" cy="47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32F">
        <w:rPr>
          <w:bCs/>
        </w:rPr>
        <w:t>Le ramassage des encombrants n’est plus effectué sur le territoire de la commune.</w:t>
      </w:r>
    </w:p>
    <w:p w:rsidR="00776FBA" w:rsidRPr="0027432F" w:rsidRDefault="00776FBA" w:rsidP="00E8476B">
      <w:pPr>
        <w:jc w:val="both"/>
        <w:rPr>
          <w:bCs/>
        </w:rPr>
      </w:pPr>
    </w:p>
    <w:p w:rsidR="00776FBA" w:rsidRDefault="00776FBA" w:rsidP="00E8476B">
      <w:pPr>
        <w:jc w:val="both"/>
        <w:rPr>
          <w:bCs/>
          <w:sz w:val="22"/>
          <w:szCs w:val="22"/>
        </w:rPr>
      </w:pPr>
    </w:p>
    <w:p w:rsidR="00776FBA" w:rsidRDefault="00776FBA" w:rsidP="00E8476B">
      <w:pPr>
        <w:jc w:val="both"/>
        <w:rPr>
          <w:bCs/>
          <w:sz w:val="22"/>
          <w:szCs w:val="22"/>
        </w:rPr>
      </w:pPr>
    </w:p>
    <w:p w:rsidR="00776FBA" w:rsidRDefault="00776FBA" w:rsidP="00E8476B">
      <w:pPr>
        <w:jc w:val="both"/>
        <w:rPr>
          <w:bCs/>
          <w:sz w:val="22"/>
          <w:szCs w:val="22"/>
        </w:rPr>
      </w:pPr>
    </w:p>
    <w:p w:rsidR="00776FBA" w:rsidRPr="00C9628F" w:rsidRDefault="00776FBA" w:rsidP="00776FBA">
      <w:pPr>
        <w:jc w:val="center"/>
        <w:rPr>
          <w:rFonts w:ascii="Arial" w:hAnsi="Arial" w:cs="Arial"/>
          <w:sz w:val="16"/>
          <w:szCs w:val="16"/>
        </w:rPr>
      </w:pPr>
      <w:r w:rsidRPr="00C9628F">
        <w:rPr>
          <w:rFonts w:ascii="Arial" w:hAnsi="Arial" w:cs="Arial"/>
          <w:sz w:val="16"/>
          <w:szCs w:val="16"/>
        </w:rPr>
        <w:t xml:space="preserve">Mairie de Sainte Foy d’Aigrefeuille - Place de la Mairie </w:t>
      </w:r>
      <w:r w:rsidR="0047653D" w:rsidRPr="00C9628F">
        <w:rPr>
          <w:rFonts w:ascii="Arial" w:hAnsi="Arial" w:cs="Arial"/>
          <w:sz w:val="16"/>
          <w:szCs w:val="16"/>
        </w:rPr>
        <w:t>–</w:t>
      </w:r>
      <w:r w:rsidRPr="00C9628F">
        <w:rPr>
          <w:rFonts w:ascii="Arial" w:hAnsi="Arial" w:cs="Arial"/>
          <w:sz w:val="16"/>
          <w:szCs w:val="16"/>
        </w:rPr>
        <w:t xml:space="preserve"> 31570</w:t>
      </w:r>
      <w:r w:rsidR="0047653D" w:rsidRPr="00C9628F">
        <w:rPr>
          <w:rFonts w:ascii="Arial" w:hAnsi="Arial" w:cs="Arial"/>
          <w:sz w:val="16"/>
          <w:szCs w:val="16"/>
        </w:rPr>
        <w:t xml:space="preserve"> Sainte-Foy d’Aigrefeuille</w:t>
      </w:r>
      <w:r w:rsidRPr="00C9628F">
        <w:rPr>
          <w:rFonts w:ascii="Arial" w:hAnsi="Arial" w:cs="Arial"/>
          <w:sz w:val="16"/>
          <w:szCs w:val="16"/>
        </w:rPr>
        <w:t xml:space="preserve"> – </w:t>
      </w:r>
      <w:r w:rsidRPr="00C9628F">
        <w:rPr>
          <w:rFonts w:ascii="Wingdings" w:hAnsi="Wingdings" w:cs="Arial"/>
          <w:sz w:val="16"/>
          <w:szCs w:val="16"/>
        </w:rPr>
        <w:t></w:t>
      </w:r>
      <w:r w:rsidRPr="00C9628F">
        <w:rPr>
          <w:rFonts w:ascii="Arial" w:hAnsi="Arial" w:cs="Arial"/>
          <w:sz w:val="16"/>
          <w:szCs w:val="16"/>
        </w:rPr>
        <w:t>:05.61.83.78.70 –:05.61.83.70.46</w:t>
      </w:r>
    </w:p>
    <w:p w:rsidR="00776FBA" w:rsidRPr="00C9628F" w:rsidRDefault="00776FBA" w:rsidP="00776FBA">
      <w:pPr>
        <w:jc w:val="center"/>
        <w:rPr>
          <w:rFonts w:ascii="Arial" w:hAnsi="Arial" w:cs="Arial"/>
          <w:sz w:val="16"/>
          <w:szCs w:val="16"/>
        </w:rPr>
      </w:pPr>
      <w:r w:rsidRPr="00C9628F">
        <w:rPr>
          <w:rFonts w:ascii="Arial" w:hAnsi="Arial" w:cs="Arial"/>
          <w:sz w:val="16"/>
          <w:szCs w:val="16"/>
        </w:rPr>
        <w:t>Courriel :</w:t>
      </w:r>
      <w:r w:rsidR="0047653D" w:rsidRPr="00C9628F">
        <w:rPr>
          <w:rFonts w:ascii="Arial" w:hAnsi="Arial" w:cs="Arial"/>
          <w:sz w:val="16"/>
          <w:szCs w:val="16"/>
        </w:rPr>
        <w:t xml:space="preserve"> </w:t>
      </w:r>
      <w:r w:rsidRPr="00C9628F">
        <w:rPr>
          <w:rFonts w:ascii="Arial" w:hAnsi="Arial" w:cs="Arial"/>
          <w:sz w:val="16"/>
          <w:szCs w:val="16"/>
        </w:rPr>
        <w:t>saintefoydaigrefeuille.mairie@orange-business.fr           Site </w:t>
      </w:r>
      <w:proofErr w:type="gramStart"/>
      <w:r w:rsidRPr="00C9628F">
        <w:rPr>
          <w:rFonts w:ascii="Arial" w:hAnsi="Arial" w:cs="Arial"/>
          <w:sz w:val="16"/>
          <w:szCs w:val="16"/>
        </w:rPr>
        <w:t>:http</w:t>
      </w:r>
      <w:proofErr w:type="gramEnd"/>
      <w:r w:rsidRPr="00C9628F">
        <w:rPr>
          <w:rFonts w:ascii="Arial" w:hAnsi="Arial" w:cs="Arial"/>
          <w:sz w:val="16"/>
          <w:szCs w:val="16"/>
        </w:rPr>
        <w:t>://www.mairiesaintefoydaigrefeuille.fr</w:t>
      </w:r>
    </w:p>
    <w:p w:rsidR="00776FBA" w:rsidRPr="007173EA" w:rsidRDefault="00776FBA" w:rsidP="00E8476B">
      <w:pPr>
        <w:jc w:val="both"/>
        <w:rPr>
          <w:bCs/>
          <w:sz w:val="18"/>
          <w:szCs w:val="18"/>
        </w:rPr>
      </w:pPr>
    </w:p>
    <w:sectPr w:rsidR="00776FBA" w:rsidRPr="007173EA">
      <w:pgSz w:w="11906" w:h="16838"/>
      <w:pgMar w:top="567" w:right="1418" w:bottom="0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BB9"/>
    <w:multiLevelType w:val="hybridMultilevel"/>
    <w:tmpl w:val="B85650FC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F3DE0"/>
    <w:multiLevelType w:val="hybridMultilevel"/>
    <w:tmpl w:val="5BB45C02"/>
    <w:lvl w:ilvl="0" w:tplc="E9A87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5"/>
    <w:rsid w:val="00046E98"/>
    <w:rsid w:val="00111B5E"/>
    <w:rsid w:val="0027432F"/>
    <w:rsid w:val="002C7F85"/>
    <w:rsid w:val="003A332F"/>
    <w:rsid w:val="004614C8"/>
    <w:rsid w:val="0047653D"/>
    <w:rsid w:val="0062306D"/>
    <w:rsid w:val="00660F77"/>
    <w:rsid w:val="00673990"/>
    <w:rsid w:val="007173EA"/>
    <w:rsid w:val="00742395"/>
    <w:rsid w:val="00776FBA"/>
    <w:rsid w:val="007C7049"/>
    <w:rsid w:val="008A01FB"/>
    <w:rsid w:val="00901118"/>
    <w:rsid w:val="009F7D17"/>
    <w:rsid w:val="00A553B6"/>
    <w:rsid w:val="00A95ABD"/>
    <w:rsid w:val="00C95DC8"/>
    <w:rsid w:val="00C9628F"/>
    <w:rsid w:val="00CC179E"/>
    <w:rsid w:val="00D71693"/>
    <w:rsid w:val="00E8476B"/>
    <w:rsid w:val="00E9172E"/>
    <w:rsid w:val="00EA2E8E"/>
    <w:rsid w:val="00ED334A"/>
    <w:rsid w:val="00FB0654"/>
    <w:rsid w:val="00FB1E2D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440"/>
      <w:jc w:val="center"/>
      <w:outlineLvl w:val="0"/>
    </w:pPr>
    <w:rPr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ind w:left="144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center"/>
    </w:pPr>
    <w:rPr>
      <w:sz w:val="32"/>
      <w:u w:val="single"/>
    </w:rPr>
  </w:style>
  <w:style w:type="paragraph" w:styleId="Titre">
    <w:name w:val="Title"/>
    <w:basedOn w:val="Normal"/>
    <w:qFormat/>
    <w:pPr>
      <w:ind w:left="1440"/>
      <w:jc w:val="center"/>
    </w:pPr>
    <w:rPr>
      <w:b/>
      <w:bCs/>
      <w:sz w:val="32"/>
    </w:rPr>
  </w:style>
  <w:style w:type="paragraph" w:styleId="Corpsdetexte">
    <w:name w:val="Body Text"/>
    <w:basedOn w:val="Normal"/>
    <w:pPr>
      <w:jc w:val="both"/>
    </w:pPr>
    <w:rPr>
      <w:b/>
      <w:bCs/>
      <w:sz w:val="22"/>
    </w:rPr>
  </w:style>
  <w:style w:type="paragraph" w:styleId="Corpsdetexte2">
    <w:name w:val="Body Text 2"/>
    <w:basedOn w:val="Normal"/>
    <w:rPr>
      <w:b/>
      <w:bCs/>
      <w:sz w:val="22"/>
    </w:rPr>
  </w:style>
  <w:style w:type="table" w:styleId="Grilledutableau">
    <w:name w:val="Table Grid"/>
    <w:basedOn w:val="TableauNormal"/>
    <w:rsid w:val="00FB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6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1693"/>
    <w:rPr>
      <w:b/>
      <w:bCs/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rsid w:val="00717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440"/>
      <w:jc w:val="center"/>
      <w:outlineLvl w:val="0"/>
    </w:pPr>
    <w:rPr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ind w:left="144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center"/>
    </w:pPr>
    <w:rPr>
      <w:sz w:val="32"/>
      <w:u w:val="single"/>
    </w:rPr>
  </w:style>
  <w:style w:type="paragraph" w:styleId="Titre">
    <w:name w:val="Title"/>
    <w:basedOn w:val="Normal"/>
    <w:qFormat/>
    <w:pPr>
      <w:ind w:left="1440"/>
      <w:jc w:val="center"/>
    </w:pPr>
    <w:rPr>
      <w:b/>
      <w:bCs/>
      <w:sz w:val="32"/>
    </w:rPr>
  </w:style>
  <w:style w:type="paragraph" w:styleId="Corpsdetexte">
    <w:name w:val="Body Text"/>
    <w:basedOn w:val="Normal"/>
    <w:pPr>
      <w:jc w:val="both"/>
    </w:pPr>
    <w:rPr>
      <w:b/>
      <w:bCs/>
      <w:sz w:val="22"/>
    </w:rPr>
  </w:style>
  <w:style w:type="paragraph" w:styleId="Corpsdetexte2">
    <w:name w:val="Body Text 2"/>
    <w:basedOn w:val="Normal"/>
    <w:rPr>
      <w:b/>
      <w:bCs/>
      <w:sz w:val="22"/>
    </w:rPr>
  </w:style>
  <w:style w:type="table" w:styleId="Grilledutableau">
    <w:name w:val="Table Grid"/>
    <w:basedOn w:val="TableauNormal"/>
    <w:rsid w:val="00FB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6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1693"/>
    <w:rPr>
      <w:b/>
      <w:bCs/>
      <w:i/>
      <w:i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rsid w:val="00717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FEBD-E3DE-4B1D-8B43-4B4224DC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SAINTE FOY D’AIGREFEUILLE</vt:lpstr>
    </vt:vector>
  </TitlesOfParts>
  <Company>Mairie de Ste Foy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SAINTE FOY D’AIGREFEUILLE</dc:title>
  <dc:creator>Mairie de Ste Foy</dc:creator>
  <cp:lastModifiedBy>MAGNUS_ADM</cp:lastModifiedBy>
  <cp:revision>2</cp:revision>
  <cp:lastPrinted>2015-10-15T13:15:00Z</cp:lastPrinted>
  <dcterms:created xsi:type="dcterms:W3CDTF">2015-12-02T15:06:00Z</dcterms:created>
  <dcterms:modified xsi:type="dcterms:W3CDTF">2015-12-02T15:06:00Z</dcterms:modified>
</cp:coreProperties>
</file>